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 февраля 2013 г. N 26781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836н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 ПОСТТРОМБОФЛЕБИТИЧЕСКОЙ БОЛЕЗНИ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посттромбофлебитической болезни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836н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 ПОСТТРОМБОФЛЕБИТИЧЕСКОЙ БОЛЕЗНИ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трофическая язва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452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I87.0 Постфлебитический синдром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  <w:br/>
            </w:r>
            <w:hyperlink w:anchor="Par79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врачом-анестезиологом-    </w:t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кардиолога первичный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основных групп</w:t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</w:t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</w:t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</w:t>
              <w:br/>
              <w:t xml:space="preserve">вирусу гепатита B (HBsAg  </w:t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</w:t>
              <w:br/>
              <w:t xml:space="preserve">классов M, G (IgM, IgG) к </w:t>
              <w:br/>
              <w:t xml:space="preserve">вирусу иммунодефицита     </w:t>
              <w:br/>
              <w:t xml:space="preserve">человека ВИЧ-1 (Human     </w:t>
              <w:br/>
              <w:t>immunodeficiency virus HIV</w:t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     </w:t>
              <w:br/>
              <w:t xml:space="preserve">вируса гепатита C         </w:t>
              <w:br/>
              <w:t xml:space="preserve">(Hepatitis C virus) в     </w:t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A03.18.001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 xml:space="preserve">сосудов (артерий и вен)   </w:t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органов      </w:t>
              <w:br/>
              <w:t xml:space="preserve">брюшной полости           </w:t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A06.03.036.002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нижней конечности с       </w:t>
              <w:br/>
              <w:t xml:space="preserve">внутривенным болюсным     </w:t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A06.09.005.003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грудной полости с         </w:t>
              <w:br/>
              <w:t xml:space="preserve">внутривенным болюсным     </w:t>
              <w:br/>
              <w:t xml:space="preserve">контрастированием,        </w:t>
              <w:br/>
              <w:t xml:space="preserve">мультипланарной и         </w:t>
              <w:br/>
              <w:t xml:space="preserve">трехмерной реконструкцией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A06.12.034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Флебография нижней        </w:t>
              <w:br/>
              <w:t xml:space="preserve">конечности ретроградная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A06.30.005.003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органов брюшной полости с </w:t>
              <w:br/>
              <w:t xml:space="preserve">внутривенным болюсным     </w:t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A07.12.002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Изотопная ангиография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врачом-анестезиологом-    </w:t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кардиолога повторный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 xml:space="preserve">хирургом с наблюдением и  </w:t>
              <w:br/>
              <w:t>уходом среднего и младшего</w:t>
              <w:br/>
              <w:t xml:space="preserve">медицинского персонала в  </w:t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 xml:space="preserve">сосудов (артерий и вен)   </w:t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A06.03.036.002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нижней конечности с       </w:t>
              <w:br/>
              <w:t xml:space="preserve">внутривенным болюсным     </w:t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A11.01.011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Склеротерапия             </w:t>
              <w:br/>
              <w:t xml:space="preserve">телеангиоэктазий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A16.01.010.001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Кожная пластика для       </w:t>
              <w:br/>
              <w:t xml:space="preserve">закрытия раны с           </w:t>
              <w:br/>
              <w:t xml:space="preserve">использованием метода     </w:t>
              <w:br/>
              <w:t xml:space="preserve">дерматензии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0,09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A16.12.006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Разрез, иссечение и       </w:t>
              <w:br/>
              <w:t xml:space="preserve">закрытие вен нижней       </w:t>
              <w:br/>
              <w:t xml:space="preserve">конечности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A16.12.012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Перевязка и обнажение     </w:t>
              <w:br/>
              <w:t xml:space="preserve">варикозных вен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A16.12.033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Формирование артерио-     </w:t>
              <w:br/>
              <w:t xml:space="preserve">венозной фистулы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A16.12.039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Пластика венозного клапана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0,09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A16.12.040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Операция шунтирующая на   </w:t>
              <w:br/>
              <w:t xml:space="preserve">венах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A22.12.003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Лазерная коагуляция вен   </w:t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A22.12.004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Радиочастотная коагуляция </w:t>
              <w:br/>
              <w:t xml:space="preserve">вен нижних конечностей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Спинально-эпидуральная    </w:t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360"/>
        <w:gridCol w:w="2160"/>
        <w:gridCol w:w="167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  <w:br/>
              <w:t xml:space="preserve">реабилитации                    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Прерывистая               </w:t>
              <w:br/>
              <w:t xml:space="preserve">пневмокомпрессия нижних   </w:t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A17.30.025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Общая магнитотерапия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48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079"/>
        <w:gridCol w:w="2880"/>
        <w:gridCol w:w="2640"/>
        <w:gridCol w:w="2160"/>
        <w:gridCol w:w="1440"/>
        <w:gridCol w:w="1080"/>
        <w:gridCol w:w="1200"/>
      </w:tblGrid>
      <w:tr>
        <w:trPr/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Анатомо-       </w:t>
              <w:br/>
              <w:t xml:space="preserve">   терапевтическо-    </w:t>
              <w:br/>
              <w:t xml:space="preserve">      химическая      </w:t>
              <w:br/>
              <w:t xml:space="preserve">    классификация    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</w:t>
              <w:br/>
              <w:t xml:space="preserve">   лекарственного   </w:t>
              <w:br/>
              <w:t xml:space="preserve">   препарата </w:t>
            </w:r>
            <w:hyperlink w:anchor="Par453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Единицы  </w:t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ССД  </w:t>
              <w:br/>
            </w:r>
            <w:hyperlink w:anchor="Par454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СКД   </w:t>
              <w:br/>
            </w:r>
            <w:hyperlink w:anchor="Par455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A02BA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Блокаторы Н2-         </w:t>
              <w:br/>
              <w:t xml:space="preserve">гистаминовых          </w:t>
              <w:br/>
              <w:t xml:space="preserve">рецепторов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Ранитидин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4200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A02BC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Ингибиторы протонового</w:t>
              <w:br/>
              <w:t xml:space="preserve">насоса   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Омепразол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280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Группа гепарина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Гепарин натрия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20000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100000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Далтепарин натрия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18000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180000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Надропарин кальция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13000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130000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Эноксапарин натрия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140000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Ингибиторы протеиназ  </w:t>
              <w:br/>
              <w:t xml:space="preserve">плазмы   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АТрЕ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700000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3500000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B05AA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Кровезаменители и     </w:t>
              <w:br/>
              <w:t>препараты плазмы крови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5600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B05XA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7000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C01AA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Гликозиды наперстянки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Дигоксин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C03CA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Сульфонамиды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C07AA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Неселективные бета-   </w:t>
              <w:br/>
              <w:t xml:space="preserve">адреноблокаторы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560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C07AB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Селективные бета-     </w:t>
              <w:br/>
              <w:t xml:space="preserve">адреноблокаторы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M01AB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Производные уксусной  </w:t>
              <w:br/>
              <w:t xml:space="preserve">кислоты и родственные </w:t>
              <w:br/>
              <w:t xml:space="preserve">соединения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75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1050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Кеторолак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M03AB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Производные холина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Суксаметония йодид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Суксаметония хлорид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M03AC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Другие четвертичные   </w:t>
              <w:br/>
              <w:t xml:space="preserve">аммониевые соединения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Пипекурония бромид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12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12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N01AB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Галогенированные      </w:t>
              <w:br/>
              <w:t xml:space="preserve">углеводороды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Галотан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Севофлуран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N01AF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N01AH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Опиоидные анальгетики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Тримеперидин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240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Фентанил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N01AX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Другие препараты для  </w:t>
              <w:br/>
              <w:t xml:space="preserve">общей анестезии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Динитрогена оксид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25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25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Кетамин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400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Пропофол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80  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N02BA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Салициловая кислота и </w:t>
              <w:br/>
              <w:t xml:space="preserve">ее производные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Ацетилсалициловая   </w:t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2500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N02BE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Анилиды  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Парацетамол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1000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N05CB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Барбитураты в         </w:t>
              <w:br/>
              <w:t xml:space="preserve">комбинации с другими  </w:t>
              <w:br/>
              <w:t xml:space="preserve">средствами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Диазепам +          </w:t>
              <w:br/>
              <w:t xml:space="preserve">Циклобарбитал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+   </w:t>
              <w:br/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50 + 500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R03AC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Селективные бетa2-    </w:t>
              <w:br/>
              <w:t xml:space="preserve">адреномиметики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Сальбутамол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1,4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19,6   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V03AB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1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40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560"/>
        <w:gridCol w:w="3240"/>
        <w:gridCol w:w="1560"/>
      </w:tblGrid>
      <w:tr>
        <w:trPr>
          <w:trHeight w:val="400" w:hRule="atLeast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</w:t>
              <w:br/>
              <w:t xml:space="preserve"> частоты предоставления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Количество </w:t>
            </w:r>
          </w:p>
        </w:tc>
      </w:tr>
      <w:tr>
        <w:trPr/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Основная лечебная диета (ОЛД) 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452"/>
      <w:bookmarkEnd w:id="2"/>
      <w:r>
        <w:rPr>
          <w:rFonts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53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54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55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9d032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A9229B19D7CC72ED35DE9736F7527ECCAF387454D9F39887A5A8EB897363DA72F3AC1E050CDE336W8K8M" TargetMode="External"/><Relationship Id="rId3" Type="http://schemas.openxmlformats.org/officeDocument/2006/relationships/hyperlink" Target="consultantplus://offline/ref=9A9229B19D7CC72ED35DE8777C7527ECCAFE874D46CA6E8A2B0F80WBKDM" TargetMode="External"/><Relationship Id="rId4" Type="http://schemas.openxmlformats.org/officeDocument/2006/relationships/hyperlink" Target="consultantplus://offline/ref=9A9229B19D7CC72ED35DE9736F7527ECCAF387454D9F39887A5A8EB897363DA72F3AC1E050CDE43EW8K2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2013-08-19T12:10:00Z</dcterms:created>
  <dc:creator>PrikinAV</dc:creator>
  <dc:language>ru-RU</dc:language>
  <cp:lastModifiedBy>PrikinAV</cp:lastModifiedBy>
  <dcterms:modified xsi:type="dcterms:W3CDTF">2013-08-19T12:10:00Z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